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767D" w:rsidRDefault="0052767D" w:rsidP="0052767D">
      <w:pPr>
        <w:spacing w:after="0" w:line="240" w:lineRule="auto"/>
        <w:jc w:val="center"/>
        <w:rPr>
          <w:rFonts w:ascii="Bradley Hand ITC" w:hAnsi="Bradley Hand ITC"/>
          <w:color w:val="000000"/>
          <w:sz w:val="28"/>
          <w:szCs w:val="28"/>
        </w:rPr>
      </w:pPr>
      <w:r>
        <w:rPr>
          <w:noProof/>
          <w:lang w:eastAsia="it-IT"/>
        </w:rPr>
        <w:drawing>
          <wp:inline distT="0" distB="0" distL="0" distR="0" wp14:anchorId="5BB572F9" wp14:editId="36646B6B">
            <wp:extent cx="4329543" cy="2286000"/>
            <wp:effectExtent l="0" t="0" r="0" b="0"/>
            <wp:docPr id="1" name="Image2_img" descr="http://1.bp.blogspot.com/_0Bp-3Afe03k/TOpof0SdcpI/AAAAAAAAACU/Dg0J8dfANe0/S250/mafalda-y-sus-amigos-5756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_img" descr="http://1.bp.blogspot.com/_0Bp-3Afe03k/TOpof0SdcpI/AAAAAAAAACU/Dg0J8dfANe0/S250/mafalda-y-sus-amigos-57566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2110" cy="2292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35A6" w:rsidRDefault="004F35A6" w:rsidP="0052767D">
      <w:pPr>
        <w:spacing w:after="0" w:line="240" w:lineRule="auto"/>
        <w:jc w:val="center"/>
        <w:rPr>
          <w:rFonts w:ascii="Bradley Hand ITC" w:hAnsi="Bradley Hand ITC"/>
          <w:color w:val="000000"/>
          <w:sz w:val="28"/>
          <w:szCs w:val="28"/>
        </w:rPr>
      </w:pPr>
    </w:p>
    <w:p w:rsidR="00E91EF6" w:rsidRPr="00E91EF6" w:rsidRDefault="004F35A6" w:rsidP="00E91EF6">
      <w:pPr>
        <w:autoSpaceDE w:val="0"/>
        <w:autoSpaceDN w:val="0"/>
        <w:adjustRightInd w:val="0"/>
        <w:spacing w:before="100" w:beforeAutospacing="1" w:after="100" w:afterAutospacing="1" w:line="240" w:lineRule="auto"/>
        <w:rPr>
          <w:rFonts w:ascii="Bradley Hand ITC" w:eastAsia="Times New Roman" w:hAnsi="Bradley Hand ITC" w:cs="Times New Roman"/>
          <w:b/>
          <w:i/>
          <w:sz w:val="24"/>
          <w:szCs w:val="24"/>
          <w:lang w:eastAsia="it-IT"/>
        </w:rPr>
      </w:pPr>
      <w:r w:rsidRPr="004F35A6">
        <w:rPr>
          <w:rFonts w:ascii="Bradley Hand ITC" w:eastAsia="Times New Roman" w:hAnsi="Bradley Hand ITC" w:cs="Times New Roman"/>
          <w:b/>
          <w:i/>
          <w:sz w:val="24"/>
          <w:szCs w:val="24"/>
          <w:lang w:eastAsia="it-IT"/>
        </w:rPr>
        <w:t>"Sono salito sulla cattedra per ricordare</w:t>
      </w:r>
      <w:r w:rsidR="00FB6685" w:rsidRPr="00E91EF6">
        <w:rPr>
          <w:rFonts w:ascii="Bradley Hand ITC" w:eastAsia="Times New Roman" w:hAnsi="Bradley Hand ITC" w:cs="Times New Roman"/>
          <w:b/>
          <w:i/>
          <w:sz w:val="24"/>
          <w:szCs w:val="24"/>
          <w:lang w:eastAsia="it-IT"/>
        </w:rPr>
        <w:t xml:space="preserve"> </w:t>
      </w:r>
      <w:r w:rsidRPr="004F35A6">
        <w:rPr>
          <w:rFonts w:ascii="Bradley Hand ITC" w:eastAsia="Times New Roman" w:hAnsi="Bradley Hand ITC" w:cs="Times New Roman"/>
          <w:b/>
          <w:i/>
          <w:sz w:val="24"/>
          <w:szCs w:val="24"/>
          <w:lang w:eastAsia="it-IT"/>
        </w:rPr>
        <w:t>a me stesso che dobbiamo guardare le cose sempre da angolazioni diverse"</w:t>
      </w:r>
      <w:r w:rsidR="00FB6685" w:rsidRPr="00E91EF6">
        <w:rPr>
          <w:rFonts w:ascii="Bradley Hand ITC" w:eastAsia="Times New Roman" w:hAnsi="Bradley Hand ITC" w:cs="Times New Roman"/>
          <w:b/>
          <w:i/>
          <w:sz w:val="24"/>
          <w:szCs w:val="24"/>
          <w:lang w:eastAsia="it-IT"/>
        </w:rPr>
        <w:t xml:space="preserve">. </w:t>
      </w:r>
      <w:r w:rsidRPr="004F35A6">
        <w:rPr>
          <w:rFonts w:ascii="Bradley Hand ITC" w:eastAsia="Times New Roman" w:hAnsi="Bradley Hand ITC" w:cs="Times New Roman"/>
          <w:sz w:val="24"/>
          <w:szCs w:val="24"/>
          <w:lang w:eastAsia="it-IT"/>
        </w:rPr>
        <w:t> </w:t>
      </w:r>
      <w:r w:rsidRPr="004F35A6">
        <w:rPr>
          <w:rFonts w:ascii="Bradley Hand ITC" w:eastAsia="Times New Roman" w:hAnsi="Bradley Hand ITC" w:cs="Times New Roman"/>
          <w:i/>
          <w:sz w:val="24"/>
          <w:szCs w:val="24"/>
          <w:lang w:eastAsia="it-IT"/>
        </w:rPr>
        <w:t xml:space="preserve">Robin Williams in "L'attimo fuggente" di Peter </w:t>
      </w:r>
      <w:proofErr w:type="spellStart"/>
      <w:r w:rsidRPr="004F35A6">
        <w:rPr>
          <w:rFonts w:ascii="Bradley Hand ITC" w:eastAsia="Times New Roman" w:hAnsi="Bradley Hand ITC" w:cs="Times New Roman"/>
          <w:i/>
          <w:sz w:val="24"/>
          <w:szCs w:val="24"/>
          <w:lang w:eastAsia="it-IT"/>
        </w:rPr>
        <w:t>Weir</w:t>
      </w:r>
      <w:proofErr w:type="spellEnd"/>
      <w:r w:rsidRPr="004F35A6">
        <w:rPr>
          <w:rFonts w:ascii="Bradley Hand ITC" w:eastAsia="Times New Roman" w:hAnsi="Bradley Hand ITC" w:cs="Times New Roman"/>
          <w:i/>
          <w:sz w:val="24"/>
          <w:szCs w:val="24"/>
          <w:lang w:eastAsia="it-IT"/>
        </w:rPr>
        <w:t>.</w:t>
      </w:r>
      <w:r w:rsidR="00E91EF6" w:rsidRPr="00E91EF6">
        <w:rPr>
          <w:rFonts w:ascii="Bradley Hand ITC" w:eastAsia="Times New Roman" w:hAnsi="Bradley Hand ITC" w:cs="Times New Roman"/>
          <w:b/>
          <w:i/>
          <w:sz w:val="24"/>
          <w:szCs w:val="24"/>
          <w:lang w:eastAsia="it-IT"/>
        </w:rPr>
        <w:t xml:space="preserve"> </w:t>
      </w:r>
    </w:p>
    <w:p w:rsidR="00E91EF6" w:rsidRDefault="00E91EF6" w:rsidP="0027752B">
      <w:pPr>
        <w:spacing w:after="0" w:line="240" w:lineRule="auto"/>
        <w:jc w:val="both"/>
        <w:rPr>
          <w:rFonts w:ascii="Bradley Hand ITC" w:eastAsia="Times New Roman" w:hAnsi="Bradley Hand ITC" w:cs="Times New Roman"/>
          <w:b/>
          <w:sz w:val="32"/>
          <w:szCs w:val="32"/>
          <w:lang w:eastAsia="it-IT"/>
        </w:rPr>
      </w:pPr>
    </w:p>
    <w:p w:rsidR="008305F6" w:rsidRDefault="0027752B" w:rsidP="0027752B">
      <w:pPr>
        <w:spacing w:after="0" w:line="240" w:lineRule="auto"/>
        <w:jc w:val="both"/>
        <w:rPr>
          <w:rFonts w:ascii="Bradley Hand ITC" w:hAnsi="Bradley Hand ITC"/>
          <w:sz w:val="32"/>
          <w:szCs w:val="32"/>
        </w:rPr>
      </w:pPr>
      <w:r w:rsidRPr="0027752B">
        <w:rPr>
          <w:rFonts w:ascii="Bradley Hand ITC" w:eastAsia="Times New Roman" w:hAnsi="Bradley Hand ITC" w:cs="Times New Roman"/>
          <w:b/>
          <w:sz w:val="32"/>
          <w:szCs w:val="32"/>
          <w:lang w:eastAsia="it-IT"/>
        </w:rPr>
        <w:t xml:space="preserve">La "diversità" è spesso vista in chiave negativa, come "minaccia" della propria identità e per questo la presenza dei "diverso" frequentemente genera sentimenti di paura, ansia, sospetto. </w:t>
      </w:r>
      <w:r w:rsidRPr="0027752B">
        <w:rPr>
          <w:rFonts w:ascii="Bradley Hand ITC" w:eastAsia="Times New Roman" w:hAnsi="Bradley Hand ITC" w:cs="Times New Roman"/>
          <w:sz w:val="32"/>
          <w:szCs w:val="32"/>
          <w:lang w:eastAsia="it-IT"/>
        </w:rPr>
        <w:t>Basti pensare a quanto la presenza di alunni stranieri o di portatori di handicap o dei cosiddetti alunni difficili crea</w:t>
      </w:r>
      <w:r>
        <w:rPr>
          <w:rFonts w:ascii="Bradley Hand ITC" w:eastAsia="Times New Roman" w:hAnsi="Bradley Hand ITC" w:cs="Times New Roman"/>
          <w:sz w:val="32"/>
          <w:szCs w:val="32"/>
          <w:lang w:eastAsia="it-IT"/>
        </w:rPr>
        <w:t xml:space="preserve"> ancora oggi</w:t>
      </w:r>
      <w:r w:rsidRPr="0027752B">
        <w:rPr>
          <w:rFonts w:ascii="Bradley Hand ITC" w:eastAsia="Times New Roman" w:hAnsi="Bradley Hand ITC" w:cs="Times New Roman"/>
          <w:sz w:val="32"/>
          <w:szCs w:val="32"/>
          <w:lang w:eastAsia="it-IT"/>
        </w:rPr>
        <w:t xml:space="preserve"> notevoli timori </w:t>
      </w:r>
      <w:r w:rsidR="00FB6685">
        <w:rPr>
          <w:rFonts w:ascii="Bradley Hand ITC" w:eastAsia="Times New Roman" w:hAnsi="Bradley Hand ITC" w:cs="Times New Roman"/>
          <w:sz w:val="32"/>
          <w:szCs w:val="32"/>
          <w:lang w:eastAsia="it-IT"/>
        </w:rPr>
        <w:t xml:space="preserve">nelle famiglie, </w:t>
      </w:r>
      <w:r w:rsidRPr="0027752B">
        <w:rPr>
          <w:rFonts w:ascii="Bradley Hand ITC" w:eastAsia="Times New Roman" w:hAnsi="Bradley Hand ITC" w:cs="Times New Roman"/>
          <w:sz w:val="32"/>
          <w:szCs w:val="32"/>
          <w:lang w:eastAsia="it-IT"/>
        </w:rPr>
        <w:t>negli educatori e difficoltà relazionali all'interno dei grupp</w:t>
      </w:r>
      <w:r>
        <w:rPr>
          <w:rFonts w:ascii="Bradley Hand ITC" w:eastAsia="Times New Roman" w:hAnsi="Bradley Hand ITC" w:cs="Times New Roman"/>
          <w:sz w:val="32"/>
          <w:szCs w:val="32"/>
          <w:lang w:eastAsia="it-IT"/>
        </w:rPr>
        <w:t>i</w:t>
      </w:r>
      <w:r w:rsidRPr="0027752B">
        <w:rPr>
          <w:rFonts w:ascii="Bradley Hand ITC" w:eastAsia="Times New Roman" w:hAnsi="Bradley Hand ITC" w:cs="Times New Roman"/>
          <w:sz w:val="32"/>
          <w:szCs w:val="32"/>
          <w:lang w:eastAsia="it-IT"/>
        </w:rPr>
        <w:t xml:space="preserve">. Se si riuscisse invece a percepire la </w:t>
      </w:r>
      <w:r w:rsidRPr="0027752B">
        <w:rPr>
          <w:rFonts w:ascii="Bradley Hand ITC" w:eastAsia="Times New Roman" w:hAnsi="Bradley Hand ITC" w:cs="Times New Roman"/>
          <w:b/>
          <w:bCs/>
          <w:sz w:val="32"/>
          <w:szCs w:val="32"/>
          <w:lang w:eastAsia="it-IT"/>
        </w:rPr>
        <w:t>"</w:t>
      </w:r>
      <w:r w:rsidRPr="0027752B">
        <w:rPr>
          <w:rFonts w:ascii="Bradley Hand ITC" w:eastAsia="Times New Roman" w:hAnsi="Bradley Hand ITC" w:cs="Times New Roman"/>
          <w:b/>
          <w:sz w:val="32"/>
          <w:szCs w:val="32"/>
          <w:lang w:eastAsia="it-IT"/>
        </w:rPr>
        <w:t xml:space="preserve">differenza" </w:t>
      </w:r>
      <w:r w:rsidRPr="0027752B">
        <w:rPr>
          <w:rFonts w:ascii="Bradley Hand ITC" w:eastAsia="Times New Roman" w:hAnsi="Bradley Hand ITC" w:cs="Times New Roman"/>
          <w:sz w:val="32"/>
          <w:szCs w:val="32"/>
          <w:lang w:eastAsia="it-IT"/>
        </w:rPr>
        <w:t xml:space="preserve">non come un limite alla comunicazione, ma </w:t>
      </w:r>
      <w:r w:rsidRPr="0027752B">
        <w:rPr>
          <w:rFonts w:ascii="Bradley Hand ITC" w:eastAsia="Times New Roman" w:hAnsi="Bradley Hand ITC" w:cs="Times New Roman"/>
          <w:b/>
          <w:sz w:val="32"/>
          <w:szCs w:val="32"/>
          <w:lang w:eastAsia="it-IT"/>
        </w:rPr>
        <w:t>come un "valore", una "risorsa", un "diritto"</w:t>
      </w:r>
      <w:r>
        <w:rPr>
          <w:rFonts w:ascii="Bradley Hand ITC" w:eastAsia="Times New Roman" w:hAnsi="Bradley Hand ITC" w:cs="Times New Roman"/>
          <w:b/>
          <w:sz w:val="32"/>
          <w:szCs w:val="32"/>
          <w:lang w:eastAsia="it-IT"/>
        </w:rPr>
        <w:t xml:space="preserve"> scopriremmo il vero valore dell’integrazione. </w:t>
      </w:r>
      <w:r w:rsidRPr="0027752B">
        <w:rPr>
          <w:rFonts w:ascii="Bradley Hand ITC" w:hAnsi="Bradley Hand ITC"/>
          <w:sz w:val="32"/>
          <w:szCs w:val="32"/>
        </w:rPr>
        <w:t>Invece è il pregiudizio, inteso proprio come giudizio superficiale non avvallato da fatti, ma da opinioni, il motore che a volte muove un p</w:t>
      </w:r>
      <w:bookmarkStart w:id="0" w:name="_GoBack"/>
      <w:bookmarkEnd w:id="0"/>
      <w:r w:rsidR="00CA129E">
        <w:rPr>
          <w:rFonts w:ascii="Bradley Hand ITC" w:hAnsi="Bradley Hand ITC"/>
          <w:sz w:val="32"/>
          <w:szCs w:val="32"/>
        </w:rPr>
        <w:t>ò</w:t>
      </w:r>
      <w:r w:rsidRPr="0027752B">
        <w:rPr>
          <w:rFonts w:ascii="Bradley Hand ITC" w:hAnsi="Bradley Hand ITC"/>
          <w:sz w:val="32"/>
          <w:szCs w:val="32"/>
        </w:rPr>
        <w:t xml:space="preserve"> le azioni e i</w:t>
      </w:r>
      <w:r>
        <w:rPr>
          <w:rFonts w:ascii="Bradley Hand ITC" w:hAnsi="Bradley Hand ITC"/>
          <w:sz w:val="32"/>
          <w:szCs w:val="32"/>
        </w:rPr>
        <w:t xml:space="preserve"> </w:t>
      </w:r>
      <w:r w:rsidRPr="0027752B">
        <w:rPr>
          <w:rFonts w:ascii="Bradley Hand ITC" w:hAnsi="Bradley Hand ITC"/>
          <w:sz w:val="32"/>
          <w:szCs w:val="32"/>
        </w:rPr>
        <w:t>comportamenti di tutti noi, condiziona le nostre relazioni sociali, ostacolando a volte appunto le opportunità di contatto, incontro, esplorazione, scoperta che sono i fondamenti dei rapporto con l'altro da sé.</w:t>
      </w:r>
      <w:r w:rsidRPr="0027752B">
        <w:rPr>
          <w:rFonts w:ascii="Bradley Hand ITC" w:eastAsia="Times New Roman" w:hAnsi="Bradley Hand ITC" w:cs="Times New Roman"/>
          <w:b/>
          <w:sz w:val="32"/>
          <w:szCs w:val="32"/>
          <w:lang w:eastAsia="it-IT"/>
        </w:rPr>
        <w:t>.</w:t>
      </w:r>
      <w:r w:rsidRPr="0027752B">
        <w:rPr>
          <w:rFonts w:ascii="Bradley Hand ITC" w:hAnsi="Bradley Hand ITC"/>
          <w:b/>
          <w:sz w:val="32"/>
          <w:szCs w:val="32"/>
        </w:rPr>
        <w:t xml:space="preserve"> Ma il pregiudizio non è innato, </w:t>
      </w:r>
      <w:r w:rsidRPr="0027752B">
        <w:rPr>
          <w:rFonts w:ascii="Bradley Hand ITC" w:hAnsi="Bradley Hand ITC"/>
          <w:sz w:val="32"/>
          <w:szCs w:val="32"/>
        </w:rPr>
        <w:t xml:space="preserve">ha piuttosto il suo fondamento nelle influenze familiari, ambientali, sociali, e si struttura già dalla prima infanzia. Pertanto, se crediamo sia giusto cercare di limitare il più possibile l'insorgere di pregiudizi, è fondamentale </w:t>
      </w:r>
      <w:r w:rsidRPr="008305F6">
        <w:rPr>
          <w:rFonts w:ascii="Bradley Hand ITC" w:hAnsi="Bradley Hand ITC"/>
          <w:b/>
          <w:i/>
          <w:sz w:val="32"/>
          <w:szCs w:val="32"/>
        </w:rPr>
        <w:t>intervenire a livello scolastico, educativo, familiare per fare della diversità una vera ricchezza</w:t>
      </w:r>
      <w:r w:rsidRPr="0027752B">
        <w:rPr>
          <w:rFonts w:ascii="Bradley Hand ITC" w:hAnsi="Bradley Hand ITC"/>
          <w:b/>
          <w:sz w:val="32"/>
          <w:szCs w:val="32"/>
        </w:rPr>
        <w:t xml:space="preserve">, </w:t>
      </w:r>
      <w:r w:rsidRPr="00237DC2">
        <w:rPr>
          <w:rFonts w:ascii="Bradley Hand ITC" w:hAnsi="Bradley Hand ITC"/>
          <w:sz w:val="32"/>
          <w:szCs w:val="32"/>
        </w:rPr>
        <w:t>un nuovo paradigma educativo e per stimolare i bambini e i ragazzi a pensare criticamente piuttosto che dir loro quello che devono pensare.</w:t>
      </w:r>
      <w:r w:rsidR="008305F6">
        <w:rPr>
          <w:rFonts w:ascii="Bradley Hand ITC" w:hAnsi="Bradley Hand ITC"/>
          <w:sz w:val="32"/>
          <w:szCs w:val="32"/>
        </w:rPr>
        <w:t xml:space="preserve"> </w:t>
      </w:r>
    </w:p>
    <w:p w:rsidR="00790F58" w:rsidRPr="0027752B" w:rsidRDefault="008305F6" w:rsidP="0027752B">
      <w:pPr>
        <w:spacing w:after="0" w:line="240" w:lineRule="auto"/>
        <w:jc w:val="both"/>
        <w:rPr>
          <w:rFonts w:ascii="Bradley Hand ITC" w:hAnsi="Bradley Hand ITC"/>
          <w:sz w:val="32"/>
          <w:szCs w:val="32"/>
        </w:rPr>
      </w:pPr>
      <w:r w:rsidRPr="008305F6">
        <w:rPr>
          <w:rFonts w:ascii="Bradley Hand ITC" w:hAnsi="Bradley Hand ITC"/>
          <w:b/>
          <w:i/>
          <w:sz w:val="32"/>
          <w:szCs w:val="32"/>
        </w:rPr>
        <w:t>Vi aspettiamo!!!!!!</w:t>
      </w:r>
    </w:p>
    <w:sectPr w:rsidR="00790F58" w:rsidRPr="0027752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767D"/>
    <w:rsid w:val="00237DC2"/>
    <w:rsid w:val="0027752B"/>
    <w:rsid w:val="004F35A6"/>
    <w:rsid w:val="004F5818"/>
    <w:rsid w:val="0052767D"/>
    <w:rsid w:val="00790F58"/>
    <w:rsid w:val="008305F6"/>
    <w:rsid w:val="00A405A4"/>
    <w:rsid w:val="00CA129E"/>
    <w:rsid w:val="00DD257B"/>
    <w:rsid w:val="00E91EF6"/>
    <w:rsid w:val="00EA64DC"/>
    <w:rsid w:val="00FB6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276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2767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276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2767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130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961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44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249</Words>
  <Characters>1421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Sogei</Company>
  <LinksUpToDate>false</LinksUpToDate>
  <CharactersWithSpaces>1667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Sogei</dc:creator>
  <cp:lastModifiedBy>Sogei</cp:lastModifiedBy>
  <cp:revision>6</cp:revision>
  <dcterms:created xsi:type="dcterms:W3CDTF">2015-10-21T15:45:00Z</dcterms:created>
  <dcterms:modified xsi:type="dcterms:W3CDTF">2015-11-13T19:59:00Z</dcterms:modified>
</cp:coreProperties>
</file>